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34E" w:rsidRDefault="00A33190" w:rsidP="0020534E">
      <w:pPr>
        <w:jc w:val="center"/>
      </w:pPr>
      <w:r>
        <w:t>The Sugar Test</w:t>
      </w:r>
    </w:p>
    <w:p w:rsidR="0020534E" w:rsidRDefault="0020534E" w:rsidP="0020534E">
      <w:pPr>
        <w:jc w:val="center"/>
      </w:pPr>
      <w:r>
        <w:t>Doug Rossberg</w:t>
      </w:r>
    </w:p>
    <w:p w:rsidR="0020534E" w:rsidRDefault="0011110F" w:rsidP="0020534E">
      <w:pPr>
        <w:jc w:val="center"/>
      </w:pPr>
      <w:r>
        <w:t>Chief</w:t>
      </w:r>
      <w:r w:rsidR="00A33190">
        <w:t xml:space="preserve"> </w:t>
      </w:r>
      <w:proofErr w:type="spellStart"/>
      <w:r w:rsidR="00A33190">
        <w:t>Charlo</w:t>
      </w:r>
      <w:proofErr w:type="spellEnd"/>
      <w:r w:rsidR="00A33190">
        <w:t xml:space="preserve"> Elementary School, Missoula, 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808"/>
        <w:gridCol w:w="5850"/>
      </w:tblGrid>
      <w:tr w:rsidR="0020534E">
        <w:tc>
          <w:tcPr>
            <w:tcW w:w="2808" w:type="dxa"/>
          </w:tcPr>
          <w:p w:rsidR="0020534E" w:rsidRPr="000D280A" w:rsidRDefault="0020534E" w:rsidP="00A33190">
            <w:pPr>
              <w:rPr>
                <w:b/>
              </w:rPr>
            </w:pPr>
            <w:r w:rsidRPr="000D280A">
              <w:rPr>
                <w:b/>
              </w:rPr>
              <w:t>Grade Level</w:t>
            </w:r>
          </w:p>
        </w:tc>
        <w:tc>
          <w:tcPr>
            <w:tcW w:w="5850" w:type="dxa"/>
          </w:tcPr>
          <w:p w:rsidR="0020534E" w:rsidRDefault="00A33190" w:rsidP="00A33190">
            <w:r>
              <w:t>1</w:t>
            </w:r>
          </w:p>
        </w:tc>
      </w:tr>
      <w:tr w:rsidR="0020534E">
        <w:tc>
          <w:tcPr>
            <w:tcW w:w="2808" w:type="dxa"/>
          </w:tcPr>
          <w:p w:rsidR="0020534E" w:rsidRPr="000D280A" w:rsidRDefault="0020534E" w:rsidP="00A33190">
            <w:pPr>
              <w:rPr>
                <w:b/>
              </w:rPr>
            </w:pPr>
            <w:r w:rsidRPr="000D280A">
              <w:rPr>
                <w:b/>
              </w:rPr>
              <w:t>Duration</w:t>
            </w:r>
          </w:p>
        </w:tc>
        <w:tc>
          <w:tcPr>
            <w:tcW w:w="5850" w:type="dxa"/>
          </w:tcPr>
          <w:p w:rsidR="0020534E" w:rsidRDefault="00184ECF" w:rsidP="00A33190">
            <w:r>
              <w:t>Morning and afternoon</w:t>
            </w:r>
            <w:r w:rsidR="00A33190">
              <w:t>, 30 min. each</w:t>
            </w:r>
          </w:p>
        </w:tc>
      </w:tr>
      <w:tr w:rsidR="0020534E">
        <w:tc>
          <w:tcPr>
            <w:tcW w:w="2808" w:type="dxa"/>
          </w:tcPr>
          <w:p w:rsidR="0020534E" w:rsidRPr="000D280A" w:rsidRDefault="0020534E" w:rsidP="00A33190">
            <w:pPr>
              <w:rPr>
                <w:b/>
              </w:rPr>
            </w:pPr>
            <w:r w:rsidRPr="000D280A">
              <w:rPr>
                <w:b/>
              </w:rPr>
              <w:t>Subject Area(s)</w:t>
            </w:r>
          </w:p>
        </w:tc>
        <w:tc>
          <w:tcPr>
            <w:tcW w:w="5850" w:type="dxa"/>
          </w:tcPr>
          <w:p w:rsidR="0020534E" w:rsidRDefault="00A33190" w:rsidP="00A33190">
            <w:r>
              <w:t>Science</w:t>
            </w:r>
          </w:p>
        </w:tc>
      </w:tr>
      <w:tr w:rsidR="0020534E">
        <w:trPr>
          <w:trHeight w:val="620"/>
        </w:trPr>
        <w:tc>
          <w:tcPr>
            <w:tcW w:w="2808" w:type="dxa"/>
          </w:tcPr>
          <w:p w:rsidR="0020534E" w:rsidRDefault="0020534E" w:rsidP="00A33190">
            <w:r>
              <w:rPr>
                <w:b/>
              </w:rPr>
              <w:t>NCSS and MCSS</w:t>
            </w:r>
            <w:r w:rsidRPr="000D280A">
              <w:rPr>
                <w:b/>
              </w:rPr>
              <w:t xml:space="preserve"> Standards</w:t>
            </w:r>
          </w:p>
        </w:tc>
        <w:tc>
          <w:tcPr>
            <w:tcW w:w="5850" w:type="dxa"/>
          </w:tcPr>
          <w:p w:rsidR="0020534E" w:rsidRPr="003C6611" w:rsidRDefault="003C6611" w:rsidP="00A33190">
            <w:pPr>
              <w:rPr>
                <w:b/>
              </w:rPr>
            </w:pPr>
            <w:r w:rsidRPr="003C6611">
              <w:rPr>
                <w:b/>
              </w:rPr>
              <w:t>MONTANA:</w:t>
            </w:r>
          </w:p>
          <w:p w:rsidR="00A33190" w:rsidRDefault="003C6611" w:rsidP="00A33190">
            <w:pPr>
              <w:autoSpaceDE w:val="0"/>
              <w:autoSpaceDN w:val="0"/>
              <w:adjustRightInd w:val="0"/>
              <w:rPr>
                <w:rFonts w:eastAsiaTheme="minorHAnsi"/>
                <w:bCs/>
                <w:sz w:val="20"/>
                <w:szCs w:val="20"/>
              </w:rPr>
            </w:pPr>
            <w:r w:rsidRPr="003C6611">
              <w:rPr>
                <w:rFonts w:eastAsiaTheme="minorHAnsi"/>
                <w:bCs/>
                <w:sz w:val="20"/>
                <w:szCs w:val="20"/>
              </w:rPr>
              <w:t>Content Standard 1—</w:t>
            </w:r>
            <w:r w:rsidR="00A33190">
              <w:rPr>
                <w:rFonts w:eastAsiaTheme="minorHAnsi"/>
                <w:bCs/>
                <w:sz w:val="20"/>
                <w:szCs w:val="20"/>
              </w:rPr>
              <w:t>Students, through the inquiry process, demonstrate the ability to design, conduct, evaluate, and communicate the results from reasonable conclusions of scientific investigations.</w:t>
            </w:r>
          </w:p>
          <w:p w:rsidR="003C6611" w:rsidRDefault="003C6611" w:rsidP="003C6611">
            <w:pPr>
              <w:autoSpaceDE w:val="0"/>
              <w:autoSpaceDN w:val="0"/>
              <w:adjustRightInd w:val="0"/>
              <w:rPr>
                <w:rFonts w:eastAsiaTheme="minorHAnsi"/>
                <w:bCs/>
                <w:sz w:val="20"/>
                <w:szCs w:val="20"/>
              </w:rPr>
            </w:pPr>
          </w:p>
          <w:p w:rsidR="003C6611" w:rsidRDefault="003C6611" w:rsidP="003C6611">
            <w:pPr>
              <w:autoSpaceDE w:val="0"/>
              <w:autoSpaceDN w:val="0"/>
              <w:adjustRightInd w:val="0"/>
              <w:rPr>
                <w:rFonts w:eastAsiaTheme="minorHAnsi"/>
                <w:b/>
                <w:bCs/>
              </w:rPr>
            </w:pPr>
            <w:r>
              <w:rPr>
                <w:rFonts w:eastAsiaTheme="minorHAnsi"/>
                <w:b/>
                <w:bCs/>
              </w:rPr>
              <w:t>NATIONAL:</w:t>
            </w:r>
          </w:p>
          <w:tbl>
            <w:tblPr>
              <w:tblW w:w="0" w:type="auto"/>
              <w:tblCellSpacing w:w="15" w:type="dxa"/>
              <w:tblCellMar>
                <w:top w:w="15" w:type="dxa"/>
                <w:left w:w="15" w:type="dxa"/>
                <w:bottom w:w="15" w:type="dxa"/>
                <w:right w:w="15" w:type="dxa"/>
              </w:tblCellMar>
              <w:tblLook w:val="0000"/>
            </w:tblPr>
            <w:tblGrid>
              <w:gridCol w:w="773"/>
              <w:gridCol w:w="4861"/>
            </w:tblGrid>
            <w:tr w:rsidR="00A33190" w:rsidRPr="00A33190">
              <w:trPr>
                <w:tblCellSpacing w:w="15" w:type="dxa"/>
              </w:trPr>
              <w:tc>
                <w:tcPr>
                  <w:tcW w:w="0" w:type="auto"/>
                  <w:shd w:val="clear" w:color="auto" w:fill="auto"/>
                  <w:vAlign w:val="center"/>
                </w:tcPr>
                <w:p w:rsidR="00A33190" w:rsidRPr="00A33190" w:rsidRDefault="00A33190" w:rsidP="00A33190">
                  <w:pPr>
                    <w:spacing w:after="200" w:line="276" w:lineRule="auto"/>
                    <w:jc w:val="center"/>
                    <w:rPr>
                      <w:rFonts w:ascii="Times" w:eastAsiaTheme="minorHAnsi" w:hAnsi="Times" w:cstheme="minorBidi"/>
                      <w:b/>
                      <w:sz w:val="20"/>
                      <w:szCs w:val="20"/>
                    </w:rPr>
                  </w:pPr>
                  <w:r w:rsidRPr="00A33190">
                    <w:rPr>
                      <w:rFonts w:ascii="Times" w:eastAsiaTheme="minorHAnsi" w:hAnsi="Times" w:cstheme="minorBidi"/>
                      <w:b/>
                      <w:sz w:val="20"/>
                      <w:szCs w:val="20"/>
                    </w:rPr>
                    <w:t>K-2-ETS1-1.</w:t>
                  </w:r>
                </w:p>
              </w:tc>
              <w:tc>
                <w:tcPr>
                  <w:tcW w:w="0" w:type="auto"/>
                  <w:shd w:val="clear" w:color="auto" w:fill="auto"/>
                  <w:vAlign w:val="center"/>
                </w:tcPr>
                <w:p w:rsidR="00A33190" w:rsidRPr="00A33190" w:rsidRDefault="00A33190" w:rsidP="00A33190">
                  <w:pPr>
                    <w:spacing w:after="200" w:line="276" w:lineRule="auto"/>
                    <w:rPr>
                      <w:rFonts w:ascii="Times" w:eastAsiaTheme="minorHAnsi" w:hAnsi="Times" w:cstheme="minorBidi"/>
                      <w:sz w:val="20"/>
                      <w:szCs w:val="20"/>
                    </w:rPr>
                  </w:pPr>
                  <w:r w:rsidRPr="00A33190">
                    <w:rPr>
                      <w:rFonts w:ascii="Times" w:eastAsiaTheme="minorHAnsi" w:hAnsi="Times" w:cstheme="minorBidi"/>
                      <w:sz w:val="20"/>
                      <w:szCs w:val="20"/>
                    </w:rPr>
                    <w:t>Ask questions, make observations, and gather information about a situation people want to change to define a simple problem that can be solved through the development of a new or improved object or tool.</w:t>
                  </w:r>
                </w:p>
              </w:tc>
            </w:tr>
            <w:tr w:rsidR="00A33190" w:rsidRPr="00A33190">
              <w:trPr>
                <w:tblCellSpacing w:w="15" w:type="dxa"/>
              </w:trPr>
              <w:tc>
                <w:tcPr>
                  <w:tcW w:w="0" w:type="auto"/>
                  <w:shd w:val="clear" w:color="auto" w:fill="auto"/>
                  <w:vAlign w:val="center"/>
                </w:tcPr>
                <w:p w:rsidR="00A33190" w:rsidRPr="00A33190" w:rsidRDefault="00A33190" w:rsidP="00A33190">
                  <w:pPr>
                    <w:spacing w:after="200" w:line="276" w:lineRule="auto"/>
                    <w:jc w:val="center"/>
                    <w:rPr>
                      <w:rFonts w:ascii="Times" w:eastAsiaTheme="minorHAnsi" w:hAnsi="Times" w:cstheme="minorBidi"/>
                      <w:b/>
                      <w:sz w:val="20"/>
                      <w:szCs w:val="20"/>
                    </w:rPr>
                  </w:pPr>
                  <w:r w:rsidRPr="00A33190">
                    <w:rPr>
                      <w:rFonts w:ascii="Times" w:eastAsiaTheme="minorHAnsi" w:hAnsi="Times" w:cstheme="minorBidi"/>
                      <w:b/>
                      <w:sz w:val="20"/>
                      <w:szCs w:val="20"/>
                    </w:rPr>
                    <w:t>K-2-ETS1-2.</w:t>
                  </w:r>
                </w:p>
              </w:tc>
              <w:tc>
                <w:tcPr>
                  <w:tcW w:w="0" w:type="auto"/>
                  <w:shd w:val="clear" w:color="auto" w:fill="auto"/>
                  <w:vAlign w:val="center"/>
                </w:tcPr>
                <w:p w:rsidR="00A33190" w:rsidRPr="00A33190" w:rsidRDefault="00A33190" w:rsidP="00A33190">
                  <w:pPr>
                    <w:spacing w:after="200" w:line="276" w:lineRule="auto"/>
                    <w:rPr>
                      <w:rFonts w:ascii="Times" w:eastAsiaTheme="minorHAnsi" w:hAnsi="Times" w:cstheme="minorBidi"/>
                      <w:sz w:val="20"/>
                      <w:szCs w:val="20"/>
                    </w:rPr>
                  </w:pPr>
                  <w:r w:rsidRPr="00A33190">
                    <w:rPr>
                      <w:rFonts w:ascii="Times" w:eastAsiaTheme="minorHAnsi" w:hAnsi="Times" w:cstheme="minorBidi"/>
                      <w:sz w:val="20"/>
                      <w:szCs w:val="20"/>
                    </w:rPr>
                    <w:t>Develop a simple sketch, drawing, or physical model to illustrate how the shape of an object helps it function as needed to solve a given problem.</w:t>
                  </w:r>
                </w:p>
              </w:tc>
            </w:tr>
            <w:tr w:rsidR="00A33190" w:rsidRPr="00A33190">
              <w:trPr>
                <w:tblCellSpacing w:w="15" w:type="dxa"/>
              </w:trPr>
              <w:tc>
                <w:tcPr>
                  <w:tcW w:w="0" w:type="auto"/>
                  <w:shd w:val="clear" w:color="auto" w:fill="auto"/>
                  <w:vAlign w:val="center"/>
                </w:tcPr>
                <w:p w:rsidR="00A33190" w:rsidRPr="00A33190" w:rsidRDefault="00A33190" w:rsidP="00A33190">
                  <w:pPr>
                    <w:spacing w:after="200" w:line="276" w:lineRule="auto"/>
                    <w:jc w:val="center"/>
                    <w:rPr>
                      <w:rFonts w:ascii="Times" w:eastAsiaTheme="minorHAnsi" w:hAnsi="Times" w:cstheme="minorBidi"/>
                      <w:b/>
                      <w:sz w:val="20"/>
                      <w:szCs w:val="20"/>
                    </w:rPr>
                  </w:pPr>
                  <w:r w:rsidRPr="00A33190">
                    <w:rPr>
                      <w:rFonts w:ascii="Times" w:eastAsiaTheme="minorHAnsi" w:hAnsi="Times" w:cstheme="minorBidi"/>
                      <w:b/>
                      <w:sz w:val="20"/>
                      <w:szCs w:val="20"/>
                    </w:rPr>
                    <w:t>K-2-ETS1-3.</w:t>
                  </w:r>
                </w:p>
              </w:tc>
              <w:tc>
                <w:tcPr>
                  <w:tcW w:w="0" w:type="auto"/>
                  <w:shd w:val="clear" w:color="auto" w:fill="auto"/>
                  <w:vAlign w:val="center"/>
                </w:tcPr>
                <w:p w:rsidR="00A33190" w:rsidRPr="00A33190" w:rsidRDefault="00A33190" w:rsidP="00A33190">
                  <w:pPr>
                    <w:spacing w:after="200" w:line="276" w:lineRule="auto"/>
                    <w:rPr>
                      <w:rFonts w:ascii="Times" w:eastAsiaTheme="minorHAnsi" w:hAnsi="Times" w:cstheme="minorBidi"/>
                      <w:sz w:val="20"/>
                      <w:szCs w:val="20"/>
                    </w:rPr>
                  </w:pPr>
                  <w:r w:rsidRPr="00A33190">
                    <w:rPr>
                      <w:rFonts w:ascii="Times" w:eastAsiaTheme="minorHAnsi" w:hAnsi="Times" w:cstheme="minorBidi"/>
                      <w:sz w:val="20"/>
                      <w:szCs w:val="20"/>
                    </w:rPr>
                    <w:t>Analyze data from tests of two objects designed to solve the same problem to compare the strengths and weaknesses of how each performs.</w:t>
                  </w:r>
                </w:p>
              </w:tc>
            </w:tr>
          </w:tbl>
          <w:p w:rsidR="004C65AA" w:rsidRPr="003C6611" w:rsidRDefault="004C65AA" w:rsidP="003C6611">
            <w:pPr>
              <w:autoSpaceDE w:val="0"/>
              <w:autoSpaceDN w:val="0"/>
              <w:adjustRightInd w:val="0"/>
              <w:rPr>
                <w:rFonts w:eastAsiaTheme="minorHAnsi"/>
                <w:bCs/>
              </w:rPr>
            </w:pPr>
          </w:p>
        </w:tc>
      </w:tr>
      <w:tr w:rsidR="0020534E">
        <w:tc>
          <w:tcPr>
            <w:tcW w:w="2808" w:type="dxa"/>
          </w:tcPr>
          <w:p w:rsidR="0020534E" w:rsidRPr="000D280A" w:rsidRDefault="0020534E" w:rsidP="00A33190">
            <w:pPr>
              <w:rPr>
                <w:b/>
              </w:rPr>
            </w:pPr>
            <w:r>
              <w:rPr>
                <w:b/>
              </w:rPr>
              <w:t xml:space="preserve">How will students </w:t>
            </w:r>
            <w:proofErr w:type="gramStart"/>
            <w:r>
              <w:rPr>
                <w:b/>
              </w:rPr>
              <w:t xml:space="preserve">use </w:t>
            </w:r>
            <w:r w:rsidRPr="000D280A">
              <w:rPr>
                <w:b/>
              </w:rPr>
              <w:t xml:space="preserve"> technology</w:t>
            </w:r>
            <w:proofErr w:type="gramEnd"/>
            <w:r w:rsidRPr="000D280A">
              <w:rPr>
                <w:b/>
              </w:rPr>
              <w:t xml:space="preserve"> as a tool to enhance their learning?</w:t>
            </w:r>
          </w:p>
        </w:tc>
        <w:tc>
          <w:tcPr>
            <w:tcW w:w="5850" w:type="dxa"/>
          </w:tcPr>
          <w:p w:rsidR="0020534E" w:rsidRDefault="00A33190" w:rsidP="00A33190">
            <w:r>
              <w:t>Interactive whiteboard, student responders</w:t>
            </w:r>
          </w:p>
        </w:tc>
      </w:tr>
      <w:tr w:rsidR="0020534E">
        <w:trPr>
          <w:trHeight w:val="1052"/>
        </w:trPr>
        <w:tc>
          <w:tcPr>
            <w:tcW w:w="2808" w:type="dxa"/>
          </w:tcPr>
          <w:p w:rsidR="0020534E" w:rsidRPr="000D280A" w:rsidRDefault="0020534E" w:rsidP="00A33190">
            <w:pPr>
              <w:rPr>
                <w:b/>
              </w:rPr>
            </w:pPr>
            <w:r>
              <w:rPr>
                <w:b/>
              </w:rPr>
              <w:t>Content Objectives</w:t>
            </w:r>
          </w:p>
        </w:tc>
        <w:tc>
          <w:tcPr>
            <w:tcW w:w="5850" w:type="dxa"/>
          </w:tcPr>
          <w:p w:rsidR="0011110F" w:rsidRPr="00A324E6" w:rsidRDefault="00A33190" w:rsidP="00A33190">
            <w:r>
              <w:t>Students will be able to identify cereals with high sugar content and the negative impact these sugars have on their health.</w:t>
            </w:r>
            <w:r w:rsidR="0011110F">
              <w:t xml:space="preserve"> </w:t>
            </w:r>
          </w:p>
        </w:tc>
      </w:tr>
      <w:tr w:rsidR="0020534E">
        <w:trPr>
          <w:trHeight w:val="1970"/>
        </w:trPr>
        <w:tc>
          <w:tcPr>
            <w:tcW w:w="2808" w:type="dxa"/>
          </w:tcPr>
          <w:p w:rsidR="0020534E" w:rsidRPr="000D280A" w:rsidRDefault="0020534E" w:rsidP="00A33190">
            <w:pPr>
              <w:rPr>
                <w:b/>
              </w:rPr>
            </w:pPr>
            <w:r w:rsidRPr="000D280A">
              <w:rPr>
                <w:b/>
              </w:rPr>
              <w:t>Resources</w:t>
            </w:r>
          </w:p>
          <w:p w:rsidR="0020534E" w:rsidRPr="00184496" w:rsidRDefault="0020534E" w:rsidP="00A33190">
            <w:r w:rsidRPr="00184496">
              <w:t>Hardware/Software or other materials required</w:t>
            </w:r>
          </w:p>
          <w:p w:rsidR="0020534E" w:rsidRPr="00184496" w:rsidRDefault="0020534E" w:rsidP="00A33190"/>
          <w:p w:rsidR="0020534E" w:rsidRPr="00184496" w:rsidRDefault="0020534E" w:rsidP="00A33190">
            <w:r w:rsidRPr="000D280A">
              <w:rPr>
                <w:u w:val="single"/>
              </w:rPr>
              <w:t>Delete</w:t>
            </w:r>
            <w:r w:rsidRPr="00184496">
              <w:t xml:space="preserve"> components not needed!</w:t>
            </w:r>
          </w:p>
        </w:tc>
        <w:tc>
          <w:tcPr>
            <w:tcW w:w="5850" w:type="dxa"/>
          </w:tcPr>
          <w:p w:rsidR="0020534E" w:rsidRDefault="0020534E" w:rsidP="00A33190">
            <w:r>
              <w:t>Materials:</w:t>
            </w:r>
          </w:p>
          <w:p w:rsidR="0020534E" w:rsidRDefault="00A33190" w:rsidP="0020534E">
            <w:pPr>
              <w:pStyle w:val="ListParagraph"/>
              <w:numPr>
                <w:ilvl w:val="0"/>
                <w:numId w:val="2"/>
              </w:numPr>
              <w:rPr>
                <w:rStyle w:val="lamaintext"/>
              </w:rPr>
            </w:pPr>
            <w:r>
              <w:rPr>
                <w:rStyle w:val="lamaintext"/>
              </w:rPr>
              <w:t>Interactive presentation on sugars/effects</w:t>
            </w:r>
          </w:p>
          <w:p w:rsidR="0020534E" w:rsidRDefault="00A33190" w:rsidP="0020534E">
            <w:pPr>
              <w:pStyle w:val="ListParagraph"/>
              <w:numPr>
                <w:ilvl w:val="0"/>
                <w:numId w:val="2"/>
              </w:numPr>
              <w:rPr>
                <w:rStyle w:val="lamaintext"/>
              </w:rPr>
            </w:pPr>
            <w:proofErr w:type="spellStart"/>
            <w:r>
              <w:rPr>
                <w:rStyle w:val="lamaintext"/>
              </w:rPr>
              <w:t>Ziplock</w:t>
            </w:r>
            <w:proofErr w:type="spellEnd"/>
            <w:r>
              <w:rPr>
                <w:rStyle w:val="lamaintext"/>
              </w:rPr>
              <w:t xml:space="preserve"> bags</w:t>
            </w:r>
          </w:p>
          <w:p w:rsidR="0020534E" w:rsidRDefault="00A33190" w:rsidP="0020534E">
            <w:pPr>
              <w:pStyle w:val="ListParagraph"/>
              <w:numPr>
                <w:ilvl w:val="0"/>
                <w:numId w:val="2"/>
              </w:numPr>
              <w:rPr>
                <w:rStyle w:val="lamaintext"/>
              </w:rPr>
            </w:pPr>
            <w:r>
              <w:rPr>
                <w:rStyle w:val="lamaintext"/>
              </w:rPr>
              <w:t xml:space="preserve">Yeast </w:t>
            </w:r>
          </w:p>
          <w:p w:rsidR="0020534E" w:rsidRDefault="00A33190" w:rsidP="0020534E">
            <w:pPr>
              <w:pStyle w:val="ListParagraph"/>
              <w:numPr>
                <w:ilvl w:val="0"/>
                <w:numId w:val="2"/>
              </w:numPr>
              <w:rPr>
                <w:rStyle w:val="lamaintext"/>
              </w:rPr>
            </w:pPr>
            <w:r>
              <w:rPr>
                <w:rStyle w:val="lamaintext"/>
              </w:rPr>
              <w:t>Various cereals from home</w:t>
            </w:r>
          </w:p>
          <w:p w:rsidR="00A33190" w:rsidRDefault="00A33190" w:rsidP="0011110F">
            <w:pPr>
              <w:pStyle w:val="ListParagraph"/>
              <w:numPr>
                <w:ilvl w:val="0"/>
                <w:numId w:val="2"/>
              </w:numPr>
              <w:rPr>
                <w:rStyle w:val="lamaintext"/>
              </w:rPr>
            </w:pPr>
            <w:r>
              <w:rPr>
                <w:rStyle w:val="lamaintext"/>
              </w:rPr>
              <w:t>Distilled water</w:t>
            </w:r>
          </w:p>
          <w:p w:rsidR="000E1794" w:rsidRDefault="00A33190" w:rsidP="0011110F">
            <w:pPr>
              <w:pStyle w:val="ListParagraph"/>
              <w:numPr>
                <w:ilvl w:val="0"/>
                <w:numId w:val="2"/>
              </w:numPr>
            </w:pPr>
            <w:r>
              <w:rPr>
                <w:rStyle w:val="lamaintext"/>
              </w:rPr>
              <w:t>4-corners game</w:t>
            </w:r>
          </w:p>
          <w:p w:rsidR="0020534E" w:rsidRDefault="0020534E" w:rsidP="00A33190">
            <w:r>
              <w:t>Software:</w:t>
            </w:r>
          </w:p>
          <w:p w:rsidR="0020534E" w:rsidRDefault="00A33190" w:rsidP="000E1794">
            <w:pPr>
              <w:numPr>
                <w:ilvl w:val="0"/>
                <w:numId w:val="1"/>
              </w:numPr>
            </w:pPr>
            <w:proofErr w:type="spellStart"/>
            <w:r>
              <w:t>Powerpoint</w:t>
            </w:r>
            <w:proofErr w:type="spellEnd"/>
            <w:r>
              <w:t>/Smart Notebook</w:t>
            </w:r>
          </w:p>
        </w:tc>
      </w:tr>
      <w:tr w:rsidR="0020534E">
        <w:tc>
          <w:tcPr>
            <w:tcW w:w="2808" w:type="dxa"/>
          </w:tcPr>
          <w:p w:rsidR="0020534E" w:rsidRPr="000D280A" w:rsidRDefault="0020534E" w:rsidP="00A33190">
            <w:pPr>
              <w:rPr>
                <w:b/>
              </w:rPr>
            </w:pPr>
            <w:r w:rsidRPr="000D280A">
              <w:rPr>
                <w:b/>
              </w:rPr>
              <w:t>Preparation</w:t>
            </w:r>
          </w:p>
          <w:p w:rsidR="0020534E" w:rsidRPr="00184496" w:rsidRDefault="0020534E" w:rsidP="00A33190">
            <w:r w:rsidRPr="00184496">
              <w:t xml:space="preserve">What does one need to do prior to instruction? </w:t>
            </w:r>
          </w:p>
        </w:tc>
        <w:tc>
          <w:tcPr>
            <w:tcW w:w="5850" w:type="dxa"/>
          </w:tcPr>
          <w:p w:rsidR="00A33190" w:rsidRDefault="00A33190" w:rsidP="00A33190">
            <w:r>
              <w:t>Have students bring 5 or 6 different cereal samples from home, labeled with their specific kind.</w:t>
            </w:r>
          </w:p>
          <w:p w:rsidR="00A33190" w:rsidRDefault="00A33190" w:rsidP="00A33190"/>
          <w:p w:rsidR="0011110F" w:rsidRDefault="00A33190" w:rsidP="00A33190">
            <w:r>
              <w:t>Prepare presentation on sugars and their effects</w:t>
            </w:r>
          </w:p>
        </w:tc>
      </w:tr>
      <w:tr w:rsidR="0020534E">
        <w:tc>
          <w:tcPr>
            <w:tcW w:w="2808" w:type="dxa"/>
          </w:tcPr>
          <w:p w:rsidR="0020534E" w:rsidRPr="000D280A" w:rsidRDefault="0020534E" w:rsidP="00A33190">
            <w:pPr>
              <w:rPr>
                <w:b/>
              </w:rPr>
            </w:pPr>
            <w:r w:rsidRPr="000D280A">
              <w:rPr>
                <w:b/>
              </w:rPr>
              <w:t>Motivation/Hook</w:t>
            </w:r>
          </w:p>
          <w:p w:rsidR="0020534E" w:rsidRPr="00184496" w:rsidRDefault="0020534E" w:rsidP="00A33190">
            <w:r w:rsidRPr="00184496">
              <w:t>What makes engages/piques student interest?</w:t>
            </w:r>
          </w:p>
        </w:tc>
        <w:tc>
          <w:tcPr>
            <w:tcW w:w="5850" w:type="dxa"/>
          </w:tcPr>
          <w:p w:rsidR="0011110F" w:rsidRDefault="00A33190" w:rsidP="00A33190">
            <w:r>
              <w:t>“What are some of the most healthy foods you can eat and What are some of the least healthy foods available?”</w:t>
            </w:r>
          </w:p>
        </w:tc>
      </w:tr>
      <w:tr w:rsidR="0020534E">
        <w:tc>
          <w:tcPr>
            <w:tcW w:w="2808" w:type="dxa"/>
          </w:tcPr>
          <w:p w:rsidR="0020534E" w:rsidRPr="000D280A" w:rsidRDefault="0020534E" w:rsidP="00A33190">
            <w:pPr>
              <w:rPr>
                <w:b/>
              </w:rPr>
            </w:pPr>
            <w:r w:rsidRPr="000D280A">
              <w:rPr>
                <w:b/>
              </w:rPr>
              <w:t>Instruction</w:t>
            </w:r>
          </w:p>
          <w:p w:rsidR="0020534E" w:rsidRPr="00184496" w:rsidRDefault="0020534E" w:rsidP="00A33190">
            <w:r w:rsidRPr="00184496">
              <w:t>Description of the pedagogy, strategies, possible modifications and key skills or concepts needed to be taught for all students to be successful.</w:t>
            </w:r>
          </w:p>
        </w:tc>
        <w:tc>
          <w:tcPr>
            <w:tcW w:w="5850" w:type="dxa"/>
          </w:tcPr>
          <w:p w:rsidR="00184ECF" w:rsidRDefault="00184ECF" w:rsidP="0011110F">
            <w:r>
              <w:t xml:space="preserve">After discussing what the students consider healthy and unhealthy foods, move to their desks and begin the interactive presentation on sugar and its effects on our bodies.  </w:t>
            </w:r>
          </w:p>
          <w:p w:rsidR="00184ECF" w:rsidRDefault="00184ECF" w:rsidP="0011110F"/>
          <w:p w:rsidR="00184ECF" w:rsidRDefault="00184ECF" w:rsidP="0011110F">
            <w:r>
              <w:t>Once they have learned the negative impact sugar has on our mental and physical health, 1</w:t>
            </w:r>
            <w:r w:rsidRPr="00184ECF">
              <w:rPr>
                <w:vertAlign w:val="superscript"/>
              </w:rPr>
              <w:t>st</w:t>
            </w:r>
            <w:r>
              <w:t xml:space="preserve"> graders will use student responders to look at pictures of 2 different food items and make predictions about which has the most sugar.  This is non-threatening strategy that lowers the affective filter and encourages great participation.</w:t>
            </w:r>
          </w:p>
          <w:p w:rsidR="00184ECF" w:rsidRDefault="00184ECF" w:rsidP="0011110F"/>
          <w:p w:rsidR="00184ECF" w:rsidRDefault="00184ECF" w:rsidP="0011110F">
            <w:r>
              <w:t xml:space="preserve">We are ready to experiment!  In small groups, students crush up the cereal samples we brought in and place them in </w:t>
            </w:r>
            <w:proofErr w:type="spellStart"/>
            <w:r>
              <w:t>ziplock</w:t>
            </w:r>
            <w:proofErr w:type="spellEnd"/>
            <w:r>
              <w:t xml:space="preserve"> bags.  They add equal parts distilled water and add yeast just before closing the bag.  Discuss that the byproduct of yeast metabolism is carbon dioxide, and that the greater the sugar the more the bag will fill with gas.  Set aside.  Make predictions as to which bags will have the most gas, or the most sugar content in the cereal.</w:t>
            </w:r>
          </w:p>
          <w:p w:rsidR="00184ECF" w:rsidRDefault="00184ECF" w:rsidP="0011110F"/>
          <w:p w:rsidR="0011110F" w:rsidRPr="0011110F" w:rsidRDefault="00184ECF" w:rsidP="0011110F">
            <w:r>
              <w:t>Later that day, check to see how things are going.  Did our predictions come true?  Make a graph of the different cereals and their sugar content.  Discuss how instead of an experiment like this we can use the nutrition facts on the packaging to help us identify which foods contain excessive sugar.</w:t>
            </w:r>
          </w:p>
        </w:tc>
      </w:tr>
      <w:tr w:rsidR="0020534E">
        <w:tc>
          <w:tcPr>
            <w:tcW w:w="2808" w:type="dxa"/>
          </w:tcPr>
          <w:p w:rsidR="0020534E" w:rsidRPr="000D280A" w:rsidRDefault="0020534E" w:rsidP="00A33190">
            <w:pPr>
              <w:rPr>
                <w:b/>
              </w:rPr>
            </w:pPr>
            <w:r w:rsidRPr="000D280A">
              <w:rPr>
                <w:b/>
              </w:rPr>
              <w:t>Links to relevant web sites</w:t>
            </w:r>
          </w:p>
        </w:tc>
        <w:tc>
          <w:tcPr>
            <w:tcW w:w="5850" w:type="dxa"/>
          </w:tcPr>
          <w:p w:rsidR="00184ECF" w:rsidRDefault="00184ECF" w:rsidP="00A33190">
            <w:hyperlink r:id="rId5" w:history="1">
              <w:r w:rsidRPr="00451C7D">
                <w:rPr>
                  <w:rStyle w:val="Hyperlink"/>
                </w:rPr>
                <w:t>www.smarttech.com</w:t>
              </w:r>
            </w:hyperlink>
          </w:p>
          <w:p w:rsidR="00184ECF" w:rsidRDefault="00184ECF" w:rsidP="00A33190"/>
          <w:p w:rsidR="00184ECF" w:rsidRDefault="00184ECF" w:rsidP="00A33190">
            <w:hyperlink r:id="rId6" w:history="1">
              <w:r w:rsidRPr="00451C7D">
                <w:rPr>
                  <w:rStyle w:val="Hyperlink"/>
                </w:rPr>
                <w:t>https://www.fossweb.com/delegate/ssi-wdf-ucm-webContent?dDocName=D1445666</w:t>
              </w:r>
            </w:hyperlink>
          </w:p>
          <w:p w:rsidR="0020534E" w:rsidRPr="00184ECF" w:rsidRDefault="0020534E" w:rsidP="00A33190"/>
        </w:tc>
      </w:tr>
      <w:tr w:rsidR="0020534E">
        <w:tc>
          <w:tcPr>
            <w:tcW w:w="2808" w:type="dxa"/>
          </w:tcPr>
          <w:p w:rsidR="0020534E" w:rsidRPr="000D280A" w:rsidRDefault="0020534E" w:rsidP="00A33190">
            <w:pPr>
              <w:rPr>
                <w:b/>
              </w:rPr>
            </w:pPr>
            <w:r w:rsidRPr="000D280A">
              <w:rPr>
                <w:b/>
              </w:rPr>
              <w:t>Assessment</w:t>
            </w:r>
          </w:p>
          <w:p w:rsidR="0020534E" w:rsidRPr="00184496" w:rsidRDefault="0020534E" w:rsidP="00A33190">
            <w:r w:rsidRPr="00184496">
              <w:t>How will you know if the students understand?</w:t>
            </w:r>
          </w:p>
        </w:tc>
        <w:tc>
          <w:tcPr>
            <w:tcW w:w="5850" w:type="dxa"/>
          </w:tcPr>
          <w:p w:rsidR="0020534E" w:rsidRPr="000E1794" w:rsidRDefault="00184ECF" w:rsidP="000E1794">
            <w:r>
              <w:t>Students will be able to identify foods with higher sugar content on a graph and informally we could take the same interactive quiz on food sugar content to look for improvement.</w:t>
            </w:r>
          </w:p>
        </w:tc>
      </w:tr>
    </w:tbl>
    <w:p w:rsidR="00B364D5" w:rsidRDefault="00B364D5"/>
    <w:sectPr w:rsidR="00B364D5" w:rsidSect="00B364D5">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DA27F2"/>
    <w:multiLevelType w:val="hybridMultilevel"/>
    <w:tmpl w:val="CA28169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6D2449CE"/>
    <w:multiLevelType w:val="hybridMultilevel"/>
    <w:tmpl w:val="60C02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20534E"/>
    <w:rsid w:val="000E1794"/>
    <w:rsid w:val="0011110F"/>
    <w:rsid w:val="00184ECF"/>
    <w:rsid w:val="0020534E"/>
    <w:rsid w:val="003601CD"/>
    <w:rsid w:val="003C6611"/>
    <w:rsid w:val="003D0448"/>
    <w:rsid w:val="004C65AA"/>
    <w:rsid w:val="004F0648"/>
    <w:rsid w:val="00557A0A"/>
    <w:rsid w:val="00584F94"/>
    <w:rsid w:val="00864B61"/>
    <w:rsid w:val="00A33190"/>
    <w:rsid w:val="00B364D5"/>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3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lamaintext">
    <w:name w:val="lamaintext"/>
    <w:basedOn w:val="DefaultParagraphFont"/>
    <w:rsid w:val="0020534E"/>
  </w:style>
  <w:style w:type="character" w:styleId="Strong">
    <w:name w:val="Strong"/>
    <w:basedOn w:val="DefaultParagraphFont"/>
    <w:uiPriority w:val="22"/>
    <w:qFormat/>
    <w:rsid w:val="0020534E"/>
    <w:rPr>
      <w:b/>
      <w:bCs/>
    </w:rPr>
  </w:style>
  <w:style w:type="character" w:styleId="Emphasis">
    <w:name w:val="Emphasis"/>
    <w:basedOn w:val="DefaultParagraphFont"/>
    <w:uiPriority w:val="20"/>
    <w:qFormat/>
    <w:rsid w:val="0020534E"/>
    <w:rPr>
      <w:i/>
      <w:iCs/>
    </w:rPr>
  </w:style>
  <w:style w:type="paragraph" w:styleId="ListParagraph">
    <w:name w:val="List Paragraph"/>
    <w:basedOn w:val="Normal"/>
    <w:uiPriority w:val="34"/>
    <w:qFormat/>
    <w:rsid w:val="0020534E"/>
    <w:pPr>
      <w:ind w:left="720"/>
      <w:contextualSpacing/>
    </w:pPr>
  </w:style>
  <w:style w:type="character" w:customStyle="1" w:styleId="popup">
    <w:name w:val="popup"/>
    <w:basedOn w:val="DefaultParagraphFont"/>
    <w:rsid w:val="00A33190"/>
  </w:style>
  <w:style w:type="character" w:styleId="Hyperlink">
    <w:name w:val="Hyperlink"/>
    <w:basedOn w:val="DefaultParagraphFont"/>
    <w:uiPriority w:val="99"/>
    <w:semiHidden/>
    <w:unhideWhenUsed/>
    <w:rsid w:val="00184EC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67992006">
      <w:bodyDiv w:val="1"/>
      <w:marLeft w:val="0"/>
      <w:marRight w:val="0"/>
      <w:marTop w:val="0"/>
      <w:marBottom w:val="0"/>
      <w:divBdr>
        <w:top w:val="none" w:sz="0" w:space="0" w:color="auto"/>
        <w:left w:val="none" w:sz="0" w:space="0" w:color="auto"/>
        <w:bottom w:val="none" w:sz="0" w:space="0" w:color="auto"/>
        <w:right w:val="none" w:sz="0" w:space="0" w:color="auto"/>
      </w:divBdr>
      <w:divsChild>
        <w:div w:id="453597423">
          <w:marLeft w:val="0"/>
          <w:marRight w:val="0"/>
          <w:marTop w:val="0"/>
          <w:marBottom w:val="0"/>
          <w:divBdr>
            <w:top w:val="none" w:sz="0" w:space="0" w:color="auto"/>
            <w:left w:val="none" w:sz="0" w:space="0" w:color="auto"/>
            <w:bottom w:val="none" w:sz="0" w:space="0" w:color="auto"/>
            <w:right w:val="none" w:sz="0" w:space="0" w:color="auto"/>
          </w:divBdr>
        </w:div>
        <w:div w:id="2082634846">
          <w:marLeft w:val="0"/>
          <w:marRight w:val="0"/>
          <w:marTop w:val="0"/>
          <w:marBottom w:val="0"/>
          <w:divBdr>
            <w:top w:val="none" w:sz="0" w:space="0" w:color="auto"/>
            <w:left w:val="none" w:sz="0" w:space="0" w:color="auto"/>
            <w:bottom w:val="none" w:sz="0" w:space="0" w:color="auto"/>
            <w:right w:val="none" w:sz="0" w:space="0" w:color="auto"/>
          </w:divBdr>
        </w:div>
      </w:divsChild>
    </w:div>
    <w:div w:id="1152478539">
      <w:bodyDiv w:val="1"/>
      <w:marLeft w:val="0"/>
      <w:marRight w:val="0"/>
      <w:marTop w:val="0"/>
      <w:marBottom w:val="0"/>
      <w:divBdr>
        <w:top w:val="none" w:sz="0" w:space="0" w:color="auto"/>
        <w:left w:val="none" w:sz="0" w:space="0" w:color="auto"/>
        <w:bottom w:val="none" w:sz="0" w:space="0" w:color="auto"/>
        <w:right w:val="none" w:sz="0" w:space="0" w:color="auto"/>
      </w:divBdr>
      <w:divsChild>
        <w:div w:id="1879659731">
          <w:marLeft w:val="0"/>
          <w:marRight w:val="0"/>
          <w:marTop w:val="0"/>
          <w:marBottom w:val="0"/>
          <w:divBdr>
            <w:top w:val="none" w:sz="0" w:space="0" w:color="auto"/>
            <w:left w:val="none" w:sz="0" w:space="0" w:color="auto"/>
            <w:bottom w:val="none" w:sz="0" w:space="0" w:color="auto"/>
            <w:right w:val="none" w:sz="0" w:space="0" w:color="auto"/>
          </w:divBdr>
        </w:div>
        <w:div w:id="1120881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marttech.com" TargetMode="External"/><Relationship Id="rId6" Type="http://schemas.openxmlformats.org/officeDocument/2006/relationships/hyperlink" Target="https://www.fossweb.com/delegate/ssi-wdf-ucm-webContent?dDocName=D1445666"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448</Words>
  <Characters>2557</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Montana</Company>
  <LinksUpToDate>false</LinksUpToDate>
  <CharactersWithSpaces>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custom.profile</dc:creator>
  <cp:lastModifiedBy>Doug Rossberg</cp:lastModifiedBy>
  <cp:revision>3</cp:revision>
  <cp:lastPrinted>2009-04-19T22:03:00Z</cp:lastPrinted>
  <dcterms:created xsi:type="dcterms:W3CDTF">2017-08-01T19:35:00Z</dcterms:created>
  <dcterms:modified xsi:type="dcterms:W3CDTF">2017-08-01T20:01:00Z</dcterms:modified>
</cp:coreProperties>
</file>